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9AA0E" w14:textId="77777777" w:rsidR="00164C8F" w:rsidRDefault="005F1A97">
      <w:pPr>
        <w:pBdr>
          <w:top w:val="single" w:sz="6" w:space="0" w:color="000000"/>
          <w:left w:val="single" w:sz="6" w:space="0" w:color="000000"/>
          <w:bottom w:val="single" w:sz="6" w:space="0" w:color="000000"/>
          <w:right w:val="single" w:sz="6" w:space="0" w:color="000000"/>
        </w:pBdr>
        <w:spacing w:after="0" w:line="265" w:lineRule="auto"/>
        <w:ind w:left="139" w:right="0"/>
        <w:jc w:val="left"/>
      </w:pPr>
      <w:r>
        <w:rPr>
          <w:rFonts w:ascii="Arial" w:eastAsia="Arial" w:hAnsi="Arial" w:cs="Arial"/>
          <w:sz w:val="16"/>
        </w:rPr>
        <w:t xml:space="preserve">PUBLIC UTILITY COMMISSION OF TEXAS </w:t>
      </w:r>
    </w:p>
    <w:p w14:paraId="5D0D9A53" w14:textId="0D1822A1" w:rsidR="00164C8F" w:rsidRDefault="005F1A97">
      <w:pPr>
        <w:pBdr>
          <w:top w:val="single" w:sz="6" w:space="0" w:color="000000"/>
          <w:left w:val="single" w:sz="6" w:space="0" w:color="000000"/>
          <w:bottom w:val="single" w:sz="6" w:space="0" w:color="000000"/>
          <w:right w:val="single" w:sz="6" w:space="0" w:color="000000"/>
        </w:pBdr>
        <w:spacing w:after="0" w:line="265" w:lineRule="auto"/>
        <w:ind w:left="139" w:right="0"/>
        <w:jc w:val="left"/>
        <w:rPr>
          <w:rFonts w:ascii="Arial" w:eastAsia="Arial" w:hAnsi="Arial" w:cs="Arial"/>
          <w:sz w:val="16"/>
        </w:rPr>
      </w:pPr>
      <w:r>
        <w:rPr>
          <w:rFonts w:ascii="Arial" w:eastAsia="Arial" w:hAnsi="Arial" w:cs="Arial"/>
          <w:sz w:val="16"/>
        </w:rPr>
        <w:t>CENTERPOINT ENERGY HOUSTON ELECTRIC</w:t>
      </w:r>
      <w:r w:rsidR="00587E8A">
        <w:rPr>
          <w:rFonts w:ascii="Arial" w:eastAsia="Arial" w:hAnsi="Arial" w:cs="Arial"/>
          <w:sz w:val="16"/>
        </w:rPr>
        <w:t>, LLC</w:t>
      </w:r>
      <w:r>
        <w:rPr>
          <w:rFonts w:ascii="Arial" w:eastAsia="Arial" w:hAnsi="Arial" w:cs="Arial"/>
          <w:sz w:val="16"/>
        </w:rPr>
        <w:t xml:space="preserve"> </w:t>
      </w:r>
    </w:p>
    <w:p w14:paraId="226EB3B8" w14:textId="332028C9" w:rsidR="004F0B30" w:rsidRDefault="00852004">
      <w:pPr>
        <w:pBdr>
          <w:top w:val="single" w:sz="6" w:space="0" w:color="000000"/>
          <w:left w:val="single" w:sz="6" w:space="0" w:color="000000"/>
          <w:bottom w:val="single" w:sz="6" w:space="0" w:color="000000"/>
          <w:right w:val="single" w:sz="6" w:space="0" w:color="000000"/>
        </w:pBdr>
        <w:spacing w:after="0" w:line="265" w:lineRule="auto"/>
        <w:ind w:left="139" w:right="0"/>
        <w:jc w:val="left"/>
      </w:pPr>
      <w:r>
        <w:rPr>
          <w:rFonts w:ascii="Arial" w:eastAsia="Arial" w:hAnsi="Arial" w:cs="Arial"/>
          <w:sz w:val="16"/>
        </w:rPr>
        <w:t>PROCEDURES MANUAL</w:t>
      </w:r>
    </w:p>
    <w:p w14:paraId="6DE647AD" w14:textId="40FAE7D5" w:rsidR="00164C8F" w:rsidRDefault="005F1A97">
      <w:pPr>
        <w:pBdr>
          <w:top w:val="single" w:sz="6" w:space="0" w:color="000000"/>
          <w:left w:val="single" w:sz="6" w:space="0" w:color="000000"/>
          <w:bottom w:val="single" w:sz="6" w:space="0" w:color="000000"/>
          <w:right w:val="single" w:sz="6" w:space="0" w:color="000000"/>
        </w:pBdr>
        <w:spacing w:after="661" w:line="265" w:lineRule="auto"/>
        <w:ind w:left="139" w:right="0"/>
        <w:jc w:val="left"/>
      </w:pPr>
      <w:r>
        <w:rPr>
          <w:rFonts w:ascii="Arial" w:eastAsia="Arial" w:hAnsi="Arial" w:cs="Arial"/>
          <w:sz w:val="16"/>
        </w:rPr>
        <w:t xml:space="preserve">TEST YEAR ENDING </w:t>
      </w:r>
      <w:r w:rsidR="00587E8A">
        <w:rPr>
          <w:rFonts w:ascii="Arial" w:eastAsia="Arial" w:hAnsi="Arial" w:cs="Arial"/>
          <w:sz w:val="16"/>
        </w:rPr>
        <w:t>DECEMBER 31, 2023</w:t>
      </w:r>
    </w:p>
    <w:p w14:paraId="3658BCC5" w14:textId="77777777" w:rsidR="00164C8F" w:rsidRDefault="005F1A97">
      <w:pPr>
        <w:pStyle w:val="Heading1"/>
        <w:spacing w:after="52"/>
        <w:ind w:left="9"/>
      </w:pPr>
      <w:r>
        <w:t>Budgetary Planning</w:t>
      </w:r>
      <w:r>
        <w:rPr>
          <w:u w:val="none"/>
        </w:rPr>
        <w:t xml:space="preserve"> </w:t>
      </w:r>
    </w:p>
    <w:p w14:paraId="054EB467" w14:textId="77777777" w:rsidR="00164C8F" w:rsidRDefault="005F1A97">
      <w:pPr>
        <w:ind w:left="9" w:right="0"/>
      </w:pPr>
      <w:r>
        <w:t xml:space="preserve">The current planning process at CenterPoint Energy, Inc. begins with a formal strategic planning process that provides for a formal annual review by all CenterPoint Energy, Inc. business units.  As part of this process there are formal sessions in which the business units (or “Client Company”) meet with representatives of CenterPoint Energy Service Company, LLC </w:t>
      </w:r>
    </w:p>
    <w:p w14:paraId="376B76EF" w14:textId="181201DA" w:rsidR="00164C8F" w:rsidRDefault="005F1A97">
      <w:pPr>
        <w:spacing w:after="110"/>
        <w:ind w:left="9" w:right="0"/>
      </w:pPr>
      <w:r>
        <w:t xml:space="preserve">(“CenterPoint Service Company”) to share relevant information that is used by the CenterPoint Service Company in developing the proposed annual budget. In addition to the formal meetings, there are ongoing meetings throughout the year between representatives of CenterPoint Service Company and the business units to discuss and identify any planned decreases or increases in business activities that may </w:t>
      </w:r>
      <w:r w:rsidR="00932EEC">
        <w:t>a</w:t>
      </w:r>
      <w:r>
        <w:t xml:space="preserve">ffect future resource planning.  </w:t>
      </w:r>
    </w:p>
    <w:p w14:paraId="30BE8C69" w14:textId="77777777" w:rsidR="00164C8F" w:rsidRDefault="005F1A97">
      <w:pPr>
        <w:spacing w:after="109"/>
        <w:ind w:left="9" w:right="0"/>
      </w:pPr>
      <w:r>
        <w:t xml:space="preserve">The current budgeting process for CenterPoint Service Company requires each functional area to meet with the respective business unit to determine future service needs, which may include both ongoing operations and project activities or unique one-time activities. Based upon the information provided by the business units to CenterPoint Service Company representatives, a proposed budget is developed by each functional group within CenterPoint Service Company. Once initial budgets are defined, meetings are held with the president of each of the business units along with his/her financial director and any appropriate support personnel. Based on the discussions with the business units, adjustments are made to the respective CenterPoint Service Company budgets, which are then incorporated into the business units’ budgetary plans.  </w:t>
      </w:r>
    </w:p>
    <w:p w14:paraId="191D6CF7" w14:textId="77777777" w:rsidR="00164C8F" w:rsidRDefault="005F1A97">
      <w:pPr>
        <w:spacing w:after="111"/>
        <w:ind w:left="9" w:right="0"/>
      </w:pPr>
      <w:r>
        <w:t xml:space="preserve">The next step in the annual planning process is a review of the proposed business plans and corresponding budgets by each of the CenterPoint Service Company’s functional areas and business units with the Executive Committee. Upon final adjustments to proposed business plans and budgets, a presentation is made to the CenterPoint Energy Board of Directors. </w:t>
      </w:r>
    </w:p>
    <w:p w14:paraId="18EA0AE3" w14:textId="641B2594" w:rsidR="00164C8F" w:rsidRDefault="005F1A97">
      <w:pPr>
        <w:spacing w:after="148"/>
        <w:ind w:left="9" w:right="0"/>
      </w:pPr>
      <w:r>
        <w:t xml:space="preserve">The final step in the planning process is to develop the Service Level Agreements (“SLA’s”) to reflect the agreed upon services, </w:t>
      </w:r>
      <w:proofErr w:type="gramStart"/>
      <w:r>
        <w:t>pricing</w:t>
      </w:r>
      <w:proofErr w:type="gramEnd"/>
      <w:r>
        <w:t xml:space="preserve"> and performance standards. The final </w:t>
      </w:r>
      <w:proofErr w:type="gramStart"/>
      <w:r>
        <w:t>SLA's</w:t>
      </w:r>
      <w:proofErr w:type="gramEnd"/>
      <w:r>
        <w:t xml:space="preserve"> are then distributed to respective business unit finance directors to coordinate a final review and signature of the business unit president. </w:t>
      </w:r>
    </w:p>
    <w:p w14:paraId="65B0610F" w14:textId="77777777" w:rsidR="00164C8F" w:rsidRDefault="005F1A97">
      <w:pPr>
        <w:pStyle w:val="Heading1"/>
        <w:spacing w:after="52"/>
        <w:ind w:left="9"/>
      </w:pPr>
      <w:r>
        <w:t>Monitoring of Costs and Management Reporting</w:t>
      </w:r>
      <w:r>
        <w:rPr>
          <w:u w:val="none"/>
        </w:rPr>
        <w:t xml:space="preserve"> </w:t>
      </w:r>
    </w:p>
    <w:p w14:paraId="3A8857F0" w14:textId="77777777" w:rsidR="00164C8F" w:rsidRDefault="005F1A97">
      <w:pPr>
        <w:spacing w:after="110"/>
        <w:ind w:left="9" w:right="0"/>
      </w:pPr>
      <w:r>
        <w:t xml:space="preserve">During the year, performance review meetings are held where each business unit head presents to the senior management team a recap of current month and year to date financial performance. These reports include a specific section for the billings from CenterPoint Service Company and explanations for deviations. In addition to the business units, each of the functional unit leaders of CenterPoint Service Company provide a recap of their respective financial performance and billings to the business units. </w:t>
      </w:r>
    </w:p>
    <w:p w14:paraId="1BA263B6" w14:textId="77777777" w:rsidR="00164C8F" w:rsidRDefault="005F1A97">
      <w:pPr>
        <w:spacing w:after="109"/>
        <w:ind w:left="9" w:right="0"/>
      </w:pPr>
      <w:r>
        <w:lastRenderedPageBreak/>
        <w:t xml:space="preserve">The preparation of these monthly reports is coordinated by the financial director employed by each business unit and reporting to the respective president. Part of the preparation of these reports requires a detailed review of the billings received by the business unit from CenterPoint Service Company to insure reasonableness and accuracy. Any discrepancies that are not evident in the billings are referred to the finance director for CenterPoint Service Company for further explanation. </w:t>
      </w:r>
    </w:p>
    <w:p w14:paraId="3FD80892" w14:textId="77777777" w:rsidR="00164C8F" w:rsidRDefault="005F1A97">
      <w:pPr>
        <w:spacing w:after="0" w:line="259" w:lineRule="auto"/>
        <w:ind w:left="0" w:right="0" w:firstLine="0"/>
        <w:jc w:val="left"/>
      </w:pPr>
      <w:r>
        <w:rPr>
          <w:b/>
        </w:rPr>
        <w:t xml:space="preserve"> </w:t>
      </w:r>
      <w:r>
        <w:rPr>
          <w:b/>
        </w:rPr>
        <w:tab/>
        <w:t xml:space="preserve"> </w:t>
      </w:r>
    </w:p>
    <w:p w14:paraId="5DCD9F81" w14:textId="77777777" w:rsidR="00164C8F" w:rsidRDefault="005F1A97">
      <w:pPr>
        <w:pStyle w:val="Heading1"/>
        <w:spacing w:after="52"/>
        <w:ind w:left="9"/>
      </w:pPr>
      <w:r>
        <w:t>Arms-Length Transactions</w:t>
      </w:r>
      <w:r>
        <w:rPr>
          <w:u w:val="none"/>
        </w:rPr>
        <w:t xml:space="preserve"> </w:t>
      </w:r>
    </w:p>
    <w:p w14:paraId="346D093B" w14:textId="77777777" w:rsidR="00164C8F" w:rsidRDefault="005F1A97">
      <w:pPr>
        <w:spacing w:after="148"/>
        <w:ind w:left="9" w:right="0"/>
      </w:pPr>
      <w:r>
        <w:t xml:space="preserve">Each business unit has a finance director, reporting to the respective business unit president that is charged with overseeing that the services being provided by the service company are appropriately priced and periodic reviews of the billings are consistent with the annual SLA. To ensure the cost of services are competitive with the market, periodic reviews and assessments are performed through both benchmarking and outsourcing studies.  </w:t>
      </w:r>
    </w:p>
    <w:p w14:paraId="5607EF74" w14:textId="77777777" w:rsidR="00164C8F" w:rsidRDefault="005F1A97">
      <w:pPr>
        <w:spacing w:after="0" w:line="259" w:lineRule="auto"/>
        <w:ind w:left="0" w:right="0" w:firstLine="0"/>
        <w:jc w:val="left"/>
      </w:pPr>
      <w:r>
        <w:rPr>
          <w:b/>
          <w:sz w:val="28"/>
        </w:rPr>
        <w:t xml:space="preserve"> </w:t>
      </w:r>
    </w:p>
    <w:p w14:paraId="097A18E0" w14:textId="77777777" w:rsidR="00164C8F" w:rsidRDefault="005F1A97">
      <w:pPr>
        <w:pStyle w:val="Heading1"/>
        <w:ind w:left="9"/>
      </w:pPr>
      <w:r>
        <w:t>Cost Object Monitoring and Control</w:t>
      </w:r>
      <w:r>
        <w:rPr>
          <w:b w:val="0"/>
          <w:u w:val="none"/>
        </w:rPr>
        <w:t xml:space="preserve"> </w:t>
      </w:r>
    </w:p>
    <w:p w14:paraId="2C18F3C9" w14:textId="77777777" w:rsidR="00164C8F" w:rsidRDefault="005F1A97">
      <w:pPr>
        <w:spacing w:after="0" w:line="259" w:lineRule="auto"/>
        <w:ind w:left="0" w:right="0" w:firstLine="0"/>
        <w:jc w:val="left"/>
      </w:pPr>
      <w:r>
        <w:t xml:space="preserve"> </w:t>
      </w:r>
    </w:p>
    <w:p w14:paraId="544D3884" w14:textId="77777777" w:rsidR="00164C8F" w:rsidRDefault="005F1A97">
      <w:pPr>
        <w:ind w:left="9" w:right="0"/>
      </w:pPr>
      <w:r>
        <w:t xml:space="preserve">The CenterPoint Service Company Finance Organization is responsible for reviewing, monitoring, and maintaining the cost objects.  The CenterPoint Service Company Finance Organization will also establish new cost objects.  An annual review is required in addition to the day-to-day maintenance of the system. As part of the annual review, the CenterPoint Service Company Finance Organization monitors and close inactive cost objects.  </w:t>
      </w:r>
    </w:p>
    <w:p w14:paraId="317DF945" w14:textId="77777777" w:rsidR="00164C8F" w:rsidRDefault="005F1A97">
      <w:pPr>
        <w:spacing w:after="14" w:line="259" w:lineRule="auto"/>
        <w:ind w:left="0" w:right="0" w:firstLine="0"/>
        <w:jc w:val="left"/>
      </w:pPr>
      <w:r>
        <w:t xml:space="preserve"> </w:t>
      </w:r>
    </w:p>
    <w:p w14:paraId="48D09353" w14:textId="77777777" w:rsidR="00164C8F" w:rsidRDefault="005F1A97">
      <w:pPr>
        <w:pStyle w:val="Heading1"/>
        <w:ind w:left="9"/>
      </w:pPr>
      <w:r>
        <w:t>Allocation Factors Update and Revisions</w:t>
      </w:r>
      <w:r>
        <w:rPr>
          <w:u w:val="none"/>
        </w:rPr>
        <w:t xml:space="preserve"> </w:t>
      </w:r>
    </w:p>
    <w:p w14:paraId="04B0A708" w14:textId="77777777" w:rsidR="00164C8F" w:rsidRDefault="005F1A97">
      <w:pPr>
        <w:spacing w:after="0" w:line="259" w:lineRule="auto"/>
        <w:ind w:left="0" w:right="0" w:firstLine="0"/>
        <w:jc w:val="left"/>
      </w:pPr>
      <w:r>
        <w:t xml:space="preserve"> </w:t>
      </w:r>
    </w:p>
    <w:p w14:paraId="08048326" w14:textId="22F85436" w:rsidR="00164C8F" w:rsidRDefault="005F1A97">
      <w:pPr>
        <w:ind w:left="9" w:right="0"/>
      </w:pPr>
      <w:r>
        <w:t xml:space="preserve">Allocation factors are based on cost drivers specifically applicable to the service provided.  The CenterPoint Service Company Finance Organization has the primary responsibility for ensuring that allocation factors are correct, accurate and current.  Allocation factors are updated annually, at year-end.   </w:t>
      </w:r>
    </w:p>
    <w:p w14:paraId="302806D9" w14:textId="77777777" w:rsidR="00164C8F" w:rsidRDefault="005F1A97">
      <w:pPr>
        <w:spacing w:after="0" w:line="259" w:lineRule="auto"/>
        <w:ind w:left="0" w:right="0" w:firstLine="0"/>
        <w:jc w:val="left"/>
      </w:pPr>
      <w:r>
        <w:t xml:space="preserve"> </w:t>
      </w:r>
    </w:p>
    <w:p w14:paraId="0A9B7599" w14:textId="53953FB2" w:rsidR="00164C8F" w:rsidRPr="00C70FF5" w:rsidRDefault="005F1A97" w:rsidP="0031410A">
      <w:pPr>
        <w:ind w:left="9" w:right="0"/>
      </w:pPr>
      <w:r>
        <w:t xml:space="preserve">Allocation factors are </w:t>
      </w:r>
      <w:r w:rsidR="00C70FF5">
        <w:t>evaluated</w:t>
      </w:r>
      <w:r>
        <w:t xml:space="preserve"> quarterly to reflect year-to-date activity through that point in time.  For example, allocation factors are </w:t>
      </w:r>
      <w:r w:rsidR="00C70FF5">
        <w:t>evaluated</w:t>
      </w:r>
      <w:r>
        <w:t xml:space="preserve"> after the first quarter reflecting year-to-date activity through the first quarter.  These new factors</w:t>
      </w:r>
      <w:r w:rsidR="008B08BA">
        <w:t xml:space="preserve"> will be applied to the next quarter if material variances from the prior evaluation period exist</w:t>
      </w:r>
      <w:r>
        <w:t>.  This process is repeated at the end of the second and third quarters</w:t>
      </w:r>
      <w:r w:rsidRPr="00C70FF5">
        <w:t>.</w:t>
      </w:r>
      <w:r w:rsidR="00AE3C6C" w:rsidRPr="00C70FF5">
        <w:t xml:space="preserve"> The new allocation factors are applied </w:t>
      </w:r>
      <w:r w:rsidR="008B08BA">
        <w:t xml:space="preserve">as needed </w:t>
      </w:r>
      <w:r w:rsidR="00AE3C6C" w:rsidRPr="00C70FF5">
        <w:t xml:space="preserve">when </w:t>
      </w:r>
      <w:r w:rsidR="008B08BA">
        <w:t>material variances exist or until the next annual update occurs.</w:t>
      </w:r>
      <w:r w:rsidRPr="00C70FF5">
        <w:t xml:space="preserve">  </w:t>
      </w:r>
    </w:p>
    <w:p w14:paraId="08FB1BFE" w14:textId="77777777" w:rsidR="00164C8F" w:rsidRPr="00C70FF5" w:rsidRDefault="005F1A97">
      <w:pPr>
        <w:spacing w:after="0" w:line="259" w:lineRule="auto"/>
        <w:ind w:left="0" w:right="0" w:firstLine="0"/>
        <w:jc w:val="left"/>
      </w:pPr>
      <w:r w:rsidRPr="00C70FF5">
        <w:t xml:space="preserve"> </w:t>
      </w:r>
    </w:p>
    <w:p w14:paraId="246D9599" w14:textId="063C732D" w:rsidR="00164C8F" w:rsidRDefault="005F1A97">
      <w:pPr>
        <w:ind w:left="9" w:right="0"/>
      </w:pPr>
      <w:r w:rsidRPr="00C70FF5">
        <w:t>The CenterPoint Service Company Finance Organization is responsible for evaluating new allocation methodologies</w:t>
      </w:r>
      <w:r w:rsidR="00752638" w:rsidRPr="00C70FF5">
        <w:t xml:space="preserve"> and the frequency of updates and revisions</w:t>
      </w:r>
      <w:r w:rsidRPr="00C70FF5">
        <w:t>.</w:t>
      </w:r>
      <w:r>
        <w:t xml:space="preserve">  Allocation factors in effect for 2023 are set forth on Schedule V-K9.1 through V-K-9.3. </w:t>
      </w:r>
    </w:p>
    <w:p w14:paraId="1B10DC83" w14:textId="77777777" w:rsidR="00164C8F" w:rsidRDefault="005F1A97">
      <w:pPr>
        <w:spacing w:after="14" w:line="259" w:lineRule="auto"/>
        <w:ind w:left="0" w:right="0" w:firstLine="0"/>
        <w:jc w:val="left"/>
      </w:pPr>
      <w:r>
        <w:t xml:space="preserve"> </w:t>
      </w:r>
    </w:p>
    <w:p w14:paraId="70E83D77" w14:textId="77777777" w:rsidR="00164C8F" w:rsidRDefault="005F1A97">
      <w:pPr>
        <w:pStyle w:val="Heading1"/>
        <w:ind w:left="9"/>
      </w:pPr>
      <w:r>
        <w:lastRenderedPageBreak/>
        <w:t>Time Reporting</w:t>
      </w:r>
      <w:r>
        <w:rPr>
          <w:u w:val="none"/>
        </w:rPr>
        <w:t xml:space="preserve"> </w:t>
      </w:r>
    </w:p>
    <w:p w14:paraId="188B010F" w14:textId="77777777" w:rsidR="00164C8F" w:rsidRDefault="005F1A97">
      <w:pPr>
        <w:spacing w:after="0" w:line="259" w:lineRule="auto"/>
        <w:ind w:left="0" w:right="0" w:firstLine="0"/>
        <w:jc w:val="left"/>
      </w:pPr>
      <w:r>
        <w:t xml:space="preserve"> </w:t>
      </w:r>
    </w:p>
    <w:p w14:paraId="27B4559F" w14:textId="77777777" w:rsidR="00164C8F" w:rsidRDefault="005F1A97">
      <w:pPr>
        <w:ind w:left="9" w:right="0"/>
      </w:pPr>
      <w:r>
        <w:t xml:space="preserve">Certain CenterPoint Service Company employees keep time records supporting labor charged to separately identifiable goods and services performed for Client Companies.  All time is entered into SAP either through an automated timekeeping system or through manual entry directly into SAP.  Cost objects to which time entries relate are identified in the timekeeping system, and costs associated with those time entries are charged to the appropriate cost objects through SAP billings.  </w:t>
      </w:r>
    </w:p>
    <w:p w14:paraId="4C457EF1" w14:textId="77777777" w:rsidR="00164C8F" w:rsidRDefault="005F1A97">
      <w:pPr>
        <w:spacing w:after="0" w:line="259" w:lineRule="auto"/>
        <w:ind w:left="0" w:right="0" w:firstLine="0"/>
        <w:jc w:val="left"/>
      </w:pPr>
      <w:r>
        <w:t xml:space="preserve"> </w:t>
      </w:r>
    </w:p>
    <w:p w14:paraId="2123B6A6" w14:textId="77777777" w:rsidR="00164C8F" w:rsidRDefault="005F1A97">
      <w:pPr>
        <w:ind w:left="9" w:right="0"/>
      </w:pPr>
      <w:r>
        <w:t xml:space="preserve">Employees record time weekly in a minimum of 30-minute increments.  Departments may elect to record employee’s time in increments smaller than 30-minutes to meet special needs.  The employee’s immediate supervisor reviews and approves time reports.  Department Time Coordinators review time entry monthly to insure 100% accountability and compliance.  </w:t>
      </w:r>
    </w:p>
    <w:p w14:paraId="7222C2A3" w14:textId="77777777" w:rsidR="00164C8F" w:rsidRDefault="005F1A97">
      <w:pPr>
        <w:spacing w:after="0" w:line="259" w:lineRule="auto"/>
        <w:ind w:left="0" w:right="0" w:firstLine="0"/>
        <w:jc w:val="left"/>
      </w:pPr>
      <w:r>
        <w:t xml:space="preserve"> </w:t>
      </w:r>
    </w:p>
    <w:p w14:paraId="3A91DA3B" w14:textId="77777777" w:rsidR="00164C8F" w:rsidRDefault="005F1A97">
      <w:pPr>
        <w:ind w:left="9" w:right="0"/>
      </w:pPr>
      <w:r>
        <w:t xml:space="preserve">Time records are maintained for at least six years. </w:t>
      </w:r>
    </w:p>
    <w:p w14:paraId="086DDC62" w14:textId="77777777" w:rsidR="00164C8F" w:rsidRDefault="005F1A97">
      <w:pPr>
        <w:spacing w:after="14" w:line="259" w:lineRule="auto"/>
        <w:ind w:left="0" w:right="0" w:firstLine="0"/>
        <w:jc w:val="left"/>
      </w:pPr>
      <w:r>
        <w:t xml:space="preserve"> </w:t>
      </w:r>
    </w:p>
    <w:p w14:paraId="79AC51FF" w14:textId="77777777" w:rsidR="00164C8F" w:rsidRDefault="005F1A97">
      <w:pPr>
        <w:pStyle w:val="Heading1"/>
        <w:ind w:left="9"/>
      </w:pPr>
      <w:r>
        <w:t>Billing and Review</w:t>
      </w:r>
      <w:r>
        <w:rPr>
          <w:u w:val="none"/>
        </w:rPr>
        <w:t xml:space="preserve"> </w:t>
      </w:r>
    </w:p>
    <w:p w14:paraId="62D29EE4" w14:textId="77777777" w:rsidR="00164C8F" w:rsidRDefault="005F1A97">
      <w:pPr>
        <w:spacing w:after="0" w:line="259" w:lineRule="auto"/>
        <w:ind w:left="0" w:right="0" w:firstLine="0"/>
        <w:jc w:val="left"/>
      </w:pPr>
      <w:r>
        <w:t xml:space="preserve"> </w:t>
      </w:r>
    </w:p>
    <w:p w14:paraId="45268963" w14:textId="1BA96F3F" w:rsidR="00164C8F" w:rsidRDefault="005F1A97">
      <w:pPr>
        <w:ind w:left="9" w:right="0"/>
      </w:pPr>
      <w:r>
        <w:t xml:space="preserve">Monthly invoices are rendered by CenterPoint Service Company for services rendered.  Invoices are, to the extent feasible, in the form of electronic reports in the SAP system.  Charges are rendered during the first week of each month covering amounts incurred during the prior month.  For most Client Companies, charges are invoiced through an SAP entry which journalizes the actual monthly charges on the customer’s books on the first workday of the financial close. Charges are based on actual amounts incurred.  If allocations are required, they are based on estimated values based on estimates in budget plans for the relevant values.  Estimated amounts are adjusted on subsequent charges either in a subsequent month or at the end of the year.  Payment is made by the Client Company by making remittance or by making (offsetting) accounting entries of the amount billed.     </w:t>
      </w:r>
    </w:p>
    <w:p w14:paraId="72717EC4" w14:textId="77777777" w:rsidR="00164C8F" w:rsidRDefault="005F1A97">
      <w:pPr>
        <w:spacing w:after="0" w:line="259" w:lineRule="auto"/>
        <w:ind w:left="0" w:right="0" w:firstLine="0"/>
        <w:jc w:val="left"/>
      </w:pPr>
      <w:r>
        <w:t xml:space="preserve"> </w:t>
      </w:r>
    </w:p>
    <w:p w14:paraId="07192350" w14:textId="77777777" w:rsidR="00164C8F" w:rsidRDefault="005F1A97">
      <w:pPr>
        <w:ind w:left="9" w:right="0"/>
      </w:pPr>
      <w:r>
        <w:t xml:space="preserve">Management of each Client Company is responsible for reviewing invoices from CenterPoint Service Company to determine accuracy and appropriateness of charges.   </w:t>
      </w:r>
    </w:p>
    <w:p w14:paraId="6A6C5C26" w14:textId="77777777" w:rsidR="00164C8F" w:rsidRDefault="005F1A97">
      <w:pPr>
        <w:spacing w:after="0" w:line="259" w:lineRule="auto"/>
        <w:ind w:left="0" w:right="0" w:firstLine="0"/>
        <w:jc w:val="left"/>
      </w:pPr>
      <w:r>
        <w:t xml:space="preserve"> </w:t>
      </w:r>
    </w:p>
    <w:p w14:paraId="5A17FE76" w14:textId="1553FA78" w:rsidR="00164C8F" w:rsidRDefault="005F1A97">
      <w:pPr>
        <w:ind w:left="9" w:right="0"/>
      </w:pPr>
      <w:r>
        <w:t xml:space="preserve">CenterPoint Service Company's billing system will use 17 C.F.R. Section 256 et. al, the "Uniform System of Accounts for Mutual Service Companies", established by the Commission for holding company systems, as may be adjusted to use the FERC uniform system of accounts.  ServiceCo will support its charges with reasonable documentation (which may be maintained in electronic form).  Service Company will </w:t>
      </w:r>
      <w:r w:rsidR="005D1F2B">
        <w:t>adjust</w:t>
      </w:r>
      <w:r>
        <w:t xml:space="preserve"> charges as required to reflect the discovery of errors or omissions in the charges.  </w:t>
      </w:r>
    </w:p>
    <w:p w14:paraId="6589DAD8" w14:textId="77777777" w:rsidR="00164C8F" w:rsidRDefault="005F1A97">
      <w:pPr>
        <w:spacing w:after="0" w:line="259" w:lineRule="auto"/>
        <w:ind w:left="0" w:right="0" w:firstLine="0"/>
        <w:jc w:val="left"/>
      </w:pPr>
      <w:r>
        <w:t xml:space="preserve"> </w:t>
      </w:r>
    </w:p>
    <w:p w14:paraId="749D7279" w14:textId="77777777" w:rsidR="00164C8F" w:rsidRDefault="005F1A97">
      <w:pPr>
        <w:spacing w:after="14" w:line="259" w:lineRule="auto"/>
        <w:ind w:left="0" w:right="0" w:firstLine="0"/>
        <w:jc w:val="left"/>
      </w:pPr>
      <w:r>
        <w:t xml:space="preserve"> </w:t>
      </w:r>
    </w:p>
    <w:p w14:paraId="573D7C46" w14:textId="77777777" w:rsidR="00164C8F" w:rsidRDefault="005F1A97">
      <w:pPr>
        <w:pStyle w:val="Heading1"/>
        <w:ind w:left="9"/>
      </w:pPr>
      <w:r>
        <w:t>Dispute Resolution Procedure</w:t>
      </w:r>
      <w:r>
        <w:rPr>
          <w:u w:val="none"/>
        </w:rPr>
        <w:t xml:space="preserve"> </w:t>
      </w:r>
    </w:p>
    <w:p w14:paraId="6CD56E0E" w14:textId="77777777" w:rsidR="00164C8F" w:rsidRDefault="005F1A97">
      <w:pPr>
        <w:spacing w:after="0" w:line="259" w:lineRule="auto"/>
        <w:ind w:left="0" w:right="0" w:firstLine="0"/>
        <w:jc w:val="left"/>
      </w:pPr>
      <w:r>
        <w:rPr>
          <w:b/>
        </w:rPr>
        <w:t xml:space="preserve"> </w:t>
      </w:r>
    </w:p>
    <w:p w14:paraId="52EC0D1D" w14:textId="488DB741" w:rsidR="00164C8F" w:rsidRDefault="005F1A97">
      <w:pPr>
        <w:ind w:left="9" w:right="0"/>
      </w:pPr>
      <w:r>
        <w:lastRenderedPageBreak/>
        <w:t xml:space="preserve">From time to time, disputes may arise regarding the services and products provided by CenterPoint Service Company.  The employees of the Client Company and the employees of CenterPoint Service Company are encouraged to resolve those disputes on an informal basis in as timely a manner as possible, and the CenterPoint Service Company agrees, upon reasonable request, to provide access to relevant books and records.  However, if </w:t>
      </w:r>
      <w:r w:rsidR="005D1F2B">
        <w:t>during</w:t>
      </w:r>
      <w:r>
        <w:t xml:space="preserve"> the year a dispute arises as to the scope of any service or the nature of any product, the delivery terms, the related performance metrics and standards, or the price for any service or product which cannot be resolved on an informal basis, the Client Company and CenterPoint Service Company will resolve the dispute using the following procedures: </w:t>
      </w:r>
    </w:p>
    <w:p w14:paraId="44BFFF74" w14:textId="77777777" w:rsidR="00164C8F" w:rsidRDefault="005F1A97">
      <w:pPr>
        <w:spacing w:after="0" w:line="259" w:lineRule="auto"/>
        <w:ind w:left="0" w:right="0" w:firstLine="0"/>
        <w:jc w:val="left"/>
      </w:pPr>
      <w:r>
        <w:t xml:space="preserve"> </w:t>
      </w:r>
    </w:p>
    <w:p w14:paraId="14B7F0E4" w14:textId="77777777" w:rsidR="00164C8F" w:rsidRDefault="005F1A97">
      <w:pPr>
        <w:numPr>
          <w:ilvl w:val="0"/>
          <w:numId w:val="1"/>
        </w:numPr>
        <w:ind w:right="0"/>
      </w:pPr>
      <w:r>
        <w:t xml:space="preserve">A supervisor or manager of the Client Company who is responsible for the use of the service or the consumption of the product about which there is a dispute will notify in writing, or by email, a supervisor or manager of CenterPoint Service Company who is responsible for providing the service or product of the nature of the dispute, including specific examples of problems or failures which gave rise to the dispute.  The supervisor or manager of the Client Company shall also present a proposed resolution of the dispute and propose a date and time for a meeting to resolve the dispute.  The supervisor or manager of CenterPoint Service Company shall acknowledge in writing, or by email, his or her receipt of the notice of the dispute and agree to the meeting, suggest an alternative date and time for the meeting proposed by the supervisor or manager of the Client Company, or contact the supervisor or manager of the Client Company to schedule a meeting date and time that the two may agree upon. </w:t>
      </w:r>
    </w:p>
    <w:p w14:paraId="6FA115F2" w14:textId="77777777" w:rsidR="00164C8F" w:rsidRDefault="005F1A97">
      <w:pPr>
        <w:spacing w:after="0" w:line="259" w:lineRule="auto"/>
        <w:ind w:left="0" w:right="0" w:firstLine="0"/>
        <w:jc w:val="left"/>
      </w:pPr>
      <w:r>
        <w:t xml:space="preserve"> </w:t>
      </w:r>
    </w:p>
    <w:p w14:paraId="11D3CAD2" w14:textId="77777777" w:rsidR="00164C8F" w:rsidRDefault="005F1A97">
      <w:pPr>
        <w:numPr>
          <w:ilvl w:val="0"/>
          <w:numId w:val="1"/>
        </w:numPr>
        <w:ind w:right="0"/>
      </w:pPr>
      <w:r>
        <w:t xml:space="preserve">The supervisor or manager of the Client Company and the supervisor or manager of CenterPoint Service Company may meet as often as both agree is necessary to resolve the complaint, and their meeting or meetings may include such other employees as may be helpful in resolving the dispute.  If after such meeting or meetings, but in no event later than thirty days after the initial notice of the dispute was given, the supervisor or manager of the Client Company and the supervisor or manager of CenterPoint Service Company are unable to resolve the dispute, the dispute shall be referred to the appropriate executive of the Client Company and an executive of CenterPoint Service Company for resolution. </w:t>
      </w:r>
    </w:p>
    <w:p w14:paraId="05188EF8" w14:textId="77777777" w:rsidR="00164C8F" w:rsidRDefault="005F1A97">
      <w:pPr>
        <w:spacing w:after="0" w:line="259" w:lineRule="auto"/>
        <w:ind w:left="0" w:right="0" w:firstLine="0"/>
        <w:jc w:val="left"/>
      </w:pPr>
      <w:r>
        <w:t xml:space="preserve"> </w:t>
      </w:r>
    </w:p>
    <w:p w14:paraId="1A3167CF" w14:textId="77777777" w:rsidR="00164C8F" w:rsidRDefault="005F1A97">
      <w:pPr>
        <w:numPr>
          <w:ilvl w:val="0"/>
          <w:numId w:val="1"/>
        </w:numPr>
        <w:ind w:right="0"/>
      </w:pPr>
      <w:r>
        <w:t xml:space="preserve">The executive of the Client Company and the executive of CenterPoint Service Company shall meet at a date and time or dates and times they mutually </w:t>
      </w:r>
      <w:proofErr w:type="spellStart"/>
      <w:r>
        <w:t>agree</w:t>
      </w:r>
      <w:proofErr w:type="spellEnd"/>
      <w:r>
        <w:t xml:space="preserve"> upon.  Such meetings or meetings may include any employees either executive believes will be helpful in resolving the dispute.  If, after such meeting or meetings, the executive of the Client Company and the executive of CenterPoint Service Company reasonably believe they cannot resolve the dispute, the dispute shall be referred to the most senior executives of the Client Company and of CenterPoint Service Company for resolution in accordance with whatever procedures senior management may establish. </w:t>
      </w:r>
    </w:p>
    <w:p w14:paraId="74682E03" w14:textId="77777777" w:rsidR="00164C8F" w:rsidRDefault="005F1A97">
      <w:pPr>
        <w:spacing w:after="14" w:line="259" w:lineRule="auto"/>
        <w:ind w:left="0" w:right="0" w:firstLine="0"/>
        <w:jc w:val="left"/>
      </w:pPr>
      <w:r>
        <w:t xml:space="preserve"> </w:t>
      </w:r>
    </w:p>
    <w:p w14:paraId="5BBA23AC" w14:textId="77777777" w:rsidR="00164C8F" w:rsidRDefault="005F1A97">
      <w:pPr>
        <w:pStyle w:val="Heading1"/>
        <w:ind w:left="9"/>
      </w:pPr>
      <w:r>
        <w:t>Internal Audit Control</w:t>
      </w:r>
      <w:r>
        <w:rPr>
          <w:u w:val="none"/>
        </w:rPr>
        <w:t xml:space="preserve"> </w:t>
      </w:r>
    </w:p>
    <w:p w14:paraId="0EF75D9F" w14:textId="77777777" w:rsidR="00164C8F" w:rsidRDefault="005F1A97">
      <w:pPr>
        <w:spacing w:after="0" w:line="259" w:lineRule="auto"/>
        <w:ind w:left="0" w:right="0" w:firstLine="0"/>
        <w:jc w:val="left"/>
      </w:pPr>
      <w:r>
        <w:t xml:space="preserve"> </w:t>
      </w:r>
    </w:p>
    <w:p w14:paraId="42CF51F6" w14:textId="77777777" w:rsidR="00164C8F" w:rsidRDefault="005F1A97">
      <w:pPr>
        <w:ind w:left="9" w:right="0"/>
      </w:pPr>
      <w:r>
        <w:lastRenderedPageBreak/>
        <w:t xml:space="preserve">Internal Audit, under the direction of the Vice President of Audit Services, conducts periodic reviews of CenterPoint Service Company’s business processes and systems to ensure that the services provided are properly documented and charged to the Client Companies on an appropriate basis.  Reviews are performed such that all major service areas are evaluated over time.  Internal Audit also conducts reviews of transactions and cost object charge methods to assess whether they comply with SEC requirements.  </w:t>
      </w:r>
    </w:p>
    <w:p w14:paraId="268822DC" w14:textId="77777777" w:rsidR="00164C8F" w:rsidRDefault="005F1A97">
      <w:pPr>
        <w:spacing w:after="0" w:line="259" w:lineRule="auto"/>
        <w:ind w:left="0" w:right="0" w:firstLine="0"/>
        <w:jc w:val="left"/>
      </w:pPr>
      <w:r>
        <w:t xml:space="preserve"> </w:t>
      </w:r>
    </w:p>
    <w:p w14:paraId="4FAE1941" w14:textId="2B532341" w:rsidR="00164C8F" w:rsidRDefault="005F1A97">
      <w:pPr>
        <w:ind w:left="9" w:right="0"/>
      </w:pPr>
      <w:r>
        <w:t xml:space="preserve">Internal Audit maintains an independent role and has direct contact to CenterPoint Energy’s Audit Committee. Audit findings, </w:t>
      </w:r>
      <w:r w:rsidR="00497926">
        <w:t>recommendations,</w:t>
      </w:r>
      <w:r>
        <w:t xml:space="preserve"> and progress toward resolution of findings are reported to the Audit Committee and Senior Management as appropriate.  </w:t>
      </w:r>
    </w:p>
    <w:p w14:paraId="650BA974" w14:textId="77777777" w:rsidR="00164C8F" w:rsidRDefault="005F1A97">
      <w:pPr>
        <w:spacing w:after="0" w:line="259" w:lineRule="auto"/>
        <w:ind w:left="0" w:right="0" w:firstLine="0"/>
        <w:jc w:val="left"/>
      </w:pPr>
      <w:r>
        <w:t xml:space="preserve"> </w:t>
      </w:r>
    </w:p>
    <w:sectPr w:rsidR="00164C8F" w:rsidSect="00C52C38">
      <w:headerReference w:type="even" r:id="rId11"/>
      <w:headerReference w:type="default" r:id="rId12"/>
      <w:headerReference w:type="first" r:id="rId13"/>
      <w:pgSz w:w="12240" w:h="15840" w:code="1"/>
      <w:pgMar w:top="2160" w:right="1440" w:bottom="1440" w:left="1440" w:header="14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3DA2F" w14:textId="77777777" w:rsidR="00E164BD" w:rsidRDefault="00E164BD">
      <w:pPr>
        <w:spacing w:after="0" w:line="240" w:lineRule="auto"/>
      </w:pPr>
      <w:r>
        <w:separator/>
      </w:r>
    </w:p>
  </w:endnote>
  <w:endnote w:type="continuationSeparator" w:id="0">
    <w:p w14:paraId="38A1B662" w14:textId="77777777" w:rsidR="00E164BD" w:rsidRDefault="00E164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E15B2" w14:textId="77777777" w:rsidR="00E164BD" w:rsidRDefault="00E164BD">
      <w:pPr>
        <w:spacing w:after="0" w:line="240" w:lineRule="auto"/>
      </w:pPr>
      <w:r>
        <w:separator/>
      </w:r>
    </w:p>
  </w:footnote>
  <w:footnote w:type="continuationSeparator" w:id="0">
    <w:p w14:paraId="341E800A" w14:textId="77777777" w:rsidR="00E164BD" w:rsidRDefault="00E164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79DDE" w14:textId="77777777" w:rsidR="00164C8F" w:rsidRDefault="005F1A97">
    <w:pPr>
      <w:spacing w:after="0" w:line="259" w:lineRule="auto"/>
      <w:ind w:left="0" w:firstLine="0"/>
      <w:jc w:val="right"/>
    </w:pPr>
    <w:r>
      <w:rPr>
        <w:rFonts w:ascii="Arial" w:eastAsia="Arial" w:hAnsi="Arial" w:cs="Arial"/>
        <w:sz w:val="16"/>
      </w:rPr>
      <w:t xml:space="preserve">Exhibit MMT-8 </w:t>
    </w:r>
  </w:p>
  <w:p w14:paraId="63005471" w14:textId="77777777" w:rsidR="00164C8F" w:rsidRDefault="005F1A97">
    <w:pPr>
      <w:spacing w:after="0" w:line="259" w:lineRule="auto"/>
      <w:ind w:left="0" w:right="3" w:firstLine="0"/>
      <w:jc w:val="right"/>
    </w:pPr>
    <w:r>
      <w:rPr>
        <w:rFonts w:ascii="Arial" w:eastAsia="Arial" w:hAnsi="Arial" w:cs="Arial"/>
        <w:sz w:val="16"/>
      </w:rPr>
      <w:t xml:space="preserve">SPONSOR: M. Townsend </w:t>
    </w:r>
  </w:p>
  <w:p w14:paraId="1EB46A90" w14:textId="77777777" w:rsidR="00164C8F" w:rsidRDefault="005F1A97">
    <w:pPr>
      <w:spacing w:after="0" w:line="259" w:lineRule="auto"/>
      <w:ind w:left="0" w:right="1" w:firstLine="0"/>
      <w:jc w:val="right"/>
    </w:pPr>
    <w:r>
      <w:rPr>
        <w:rFonts w:ascii="Arial" w:eastAsia="Arial" w:hAnsi="Arial" w:cs="Arial"/>
        <w:sz w:val="16"/>
      </w:rPr>
      <w:t xml:space="preserve">Page </w:t>
    </w:r>
    <w:r>
      <w:fldChar w:fldCharType="begin"/>
    </w:r>
    <w:r>
      <w:instrText xml:space="preserve"> PAGE   \* MERGEFORMAT </w:instrText>
    </w:r>
    <w:r>
      <w:fldChar w:fldCharType="separate"/>
    </w:r>
    <w:r>
      <w:rPr>
        <w:rFonts w:ascii="Arial" w:eastAsia="Arial" w:hAnsi="Arial" w:cs="Arial"/>
        <w:sz w:val="16"/>
      </w:rPr>
      <w:t>1</w:t>
    </w:r>
    <w:r>
      <w:rPr>
        <w:rFonts w:ascii="Arial" w:eastAsia="Arial" w:hAnsi="Arial" w:cs="Arial"/>
        <w:sz w:val="16"/>
      </w:rPr>
      <w:fldChar w:fldCharType="end"/>
    </w:r>
    <w:r>
      <w:rPr>
        <w:rFonts w:ascii="Arial" w:eastAsia="Arial" w:hAnsi="Arial" w:cs="Arial"/>
        <w:sz w:val="16"/>
      </w:rPr>
      <w:t xml:space="preserve"> of </w:t>
    </w:r>
    <w:fldSimple w:instr=" NUMPAGES   \* MERGEFORMAT ">
      <w:r>
        <w:rPr>
          <w:rFonts w:ascii="Arial" w:eastAsia="Arial" w:hAnsi="Arial" w:cs="Arial"/>
          <w:sz w:val="16"/>
        </w:rPr>
        <w:t>4</w:t>
      </w:r>
    </w:fldSimple>
    <w:r>
      <w:rPr>
        <w:rFonts w:ascii="Arial" w:eastAsia="Arial" w:hAnsi="Arial" w:cs="Arial"/>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10C97" w14:textId="3B1FBD28" w:rsidR="00164C8F" w:rsidRDefault="005F1A97">
    <w:pPr>
      <w:spacing w:after="0" w:line="259" w:lineRule="auto"/>
      <w:ind w:left="0" w:firstLine="0"/>
      <w:jc w:val="right"/>
    </w:pPr>
    <w:r>
      <w:rPr>
        <w:rFonts w:ascii="Arial" w:eastAsia="Arial" w:hAnsi="Arial" w:cs="Arial"/>
        <w:sz w:val="16"/>
      </w:rPr>
      <w:t xml:space="preserve">Exhibit </w:t>
    </w:r>
    <w:r w:rsidR="00932EEC">
      <w:rPr>
        <w:rFonts w:ascii="Arial" w:eastAsia="Arial" w:hAnsi="Arial" w:cs="Arial"/>
        <w:sz w:val="16"/>
      </w:rPr>
      <w:t>LDS-</w:t>
    </w:r>
    <w:r w:rsidR="00DB25DC">
      <w:rPr>
        <w:rFonts w:ascii="Arial" w:eastAsia="Arial" w:hAnsi="Arial" w:cs="Arial"/>
        <w:sz w:val="16"/>
      </w:rPr>
      <w:t>4</w:t>
    </w:r>
    <w:r>
      <w:rPr>
        <w:rFonts w:ascii="Arial" w:eastAsia="Arial" w:hAnsi="Arial" w:cs="Arial"/>
        <w:sz w:val="16"/>
      </w:rPr>
      <w:t xml:space="preserve"> </w:t>
    </w:r>
  </w:p>
  <w:p w14:paraId="6BC3F6F5" w14:textId="77777777" w:rsidR="00164C8F" w:rsidRDefault="005F1A97">
    <w:pPr>
      <w:spacing w:after="0" w:line="259" w:lineRule="auto"/>
      <w:ind w:left="0" w:right="1" w:firstLine="0"/>
      <w:jc w:val="right"/>
      <w:rPr>
        <w:rFonts w:ascii="Arial" w:eastAsia="Arial" w:hAnsi="Arial" w:cs="Arial"/>
        <w:sz w:val="16"/>
      </w:rPr>
    </w:pPr>
    <w:r>
      <w:rPr>
        <w:rFonts w:ascii="Arial" w:eastAsia="Arial" w:hAnsi="Arial" w:cs="Arial"/>
        <w:sz w:val="16"/>
      </w:rPr>
      <w:t xml:space="preserve">Page </w:t>
    </w:r>
    <w:r>
      <w:fldChar w:fldCharType="begin"/>
    </w:r>
    <w:r>
      <w:instrText xml:space="preserve"> PAGE   \* MERGEFORMAT </w:instrText>
    </w:r>
    <w:r>
      <w:fldChar w:fldCharType="separate"/>
    </w:r>
    <w:r>
      <w:rPr>
        <w:rFonts w:ascii="Arial" w:eastAsia="Arial" w:hAnsi="Arial" w:cs="Arial"/>
        <w:sz w:val="16"/>
      </w:rPr>
      <w:t>1</w:t>
    </w:r>
    <w:r>
      <w:rPr>
        <w:rFonts w:ascii="Arial" w:eastAsia="Arial" w:hAnsi="Arial" w:cs="Arial"/>
        <w:sz w:val="16"/>
      </w:rPr>
      <w:fldChar w:fldCharType="end"/>
    </w:r>
    <w:r>
      <w:rPr>
        <w:rFonts w:ascii="Arial" w:eastAsia="Arial" w:hAnsi="Arial" w:cs="Arial"/>
        <w:sz w:val="16"/>
      </w:rPr>
      <w:t xml:space="preserve"> of </w:t>
    </w:r>
    <w:fldSimple w:instr=" NUMPAGES   \* MERGEFORMAT ">
      <w:r>
        <w:rPr>
          <w:rFonts w:ascii="Arial" w:eastAsia="Arial" w:hAnsi="Arial" w:cs="Arial"/>
          <w:sz w:val="16"/>
        </w:rPr>
        <w:t>4</w:t>
      </w:r>
    </w:fldSimple>
    <w:r>
      <w:rPr>
        <w:rFonts w:ascii="Arial" w:eastAsia="Arial" w:hAnsi="Arial" w:cs="Arial"/>
        <w:sz w:val="16"/>
      </w:rPr>
      <w:t xml:space="preserve"> </w:t>
    </w:r>
  </w:p>
  <w:p w14:paraId="3FC2A961" w14:textId="77777777" w:rsidR="003C1277" w:rsidRDefault="003C1277">
    <w:pPr>
      <w:spacing w:after="0" w:line="259" w:lineRule="auto"/>
      <w:ind w:left="0" w:right="1" w:firstLine="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7E7A0" w14:textId="77777777" w:rsidR="00164C8F" w:rsidRDefault="005F1A97">
    <w:pPr>
      <w:spacing w:after="0" w:line="259" w:lineRule="auto"/>
      <w:ind w:left="0" w:firstLine="0"/>
      <w:jc w:val="right"/>
    </w:pPr>
    <w:r>
      <w:rPr>
        <w:rFonts w:ascii="Arial" w:eastAsia="Arial" w:hAnsi="Arial" w:cs="Arial"/>
        <w:sz w:val="16"/>
      </w:rPr>
      <w:t xml:space="preserve">Exhibit MMT-8 </w:t>
    </w:r>
  </w:p>
  <w:p w14:paraId="02FD9F6C" w14:textId="77777777" w:rsidR="00164C8F" w:rsidRDefault="005F1A97">
    <w:pPr>
      <w:spacing w:after="0" w:line="259" w:lineRule="auto"/>
      <w:ind w:left="0" w:right="3" w:firstLine="0"/>
      <w:jc w:val="right"/>
    </w:pPr>
    <w:r>
      <w:rPr>
        <w:rFonts w:ascii="Arial" w:eastAsia="Arial" w:hAnsi="Arial" w:cs="Arial"/>
        <w:sz w:val="16"/>
      </w:rPr>
      <w:t xml:space="preserve">SPONSOR: M. Townsend </w:t>
    </w:r>
  </w:p>
  <w:p w14:paraId="56D9B1D9" w14:textId="77777777" w:rsidR="00164C8F" w:rsidRDefault="005F1A97">
    <w:pPr>
      <w:spacing w:after="0" w:line="259" w:lineRule="auto"/>
      <w:ind w:left="0" w:right="1" w:firstLine="0"/>
      <w:jc w:val="right"/>
    </w:pPr>
    <w:r>
      <w:rPr>
        <w:rFonts w:ascii="Arial" w:eastAsia="Arial" w:hAnsi="Arial" w:cs="Arial"/>
        <w:sz w:val="16"/>
      </w:rPr>
      <w:t xml:space="preserve">Page </w:t>
    </w:r>
    <w:r>
      <w:fldChar w:fldCharType="begin"/>
    </w:r>
    <w:r>
      <w:instrText xml:space="preserve"> PAGE   \* MERGEFORMAT </w:instrText>
    </w:r>
    <w:r>
      <w:fldChar w:fldCharType="separate"/>
    </w:r>
    <w:r>
      <w:rPr>
        <w:rFonts w:ascii="Arial" w:eastAsia="Arial" w:hAnsi="Arial" w:cs="Arial"/>
        <w:sz w:val="16"/>
      </w:rPr>
      <w:t>1</w:t>
    </w:r>
    <w:r>
      <w:rPr>
        <w:rFonts w:ascii="Arial" w:eastAsia="Arial" w:hAnsi="Arial" w:cs="Arial"/>
        <w:sz w:val="16"/>
      </w:rPr>
      <w:fldChar w:fldCharType="end"/>
    </w:r>
    <w:r>
      <w:rPr>
        <w:rFonts w:ascii="Arial" w:eastAsia="Arial" w:hAnsi="Arial" w:cs="Arial"/>
        <w:sz w:val="16"/>
      </w:rPr>
      <w:t xml:space="preserve"> of </w:t>
    </w:r>
    <w:fldSimple w:instr=" NUMPAGES   \* MERGEFORMAT ">
      <w:r>
        <w:rPr>
          <w:rFonts w:ascii="Arial" w:eastAsia="Arial" w:hAnsi="Arial" w:cs="Arial"/>
          <w:sz w:val="16"/>
        </w:rPr>
        <w:t>4</w:t>
      </w:r>
    </w:fldSimple>
    <w:r>
      <w:rPr>
        <w:rFonts w:ascii="Arial" w:eastAsia="Arial" w:hAnsi="Arial" w:cs="Arial"/>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3C1BDF"/>
    <w:multiLevelType w:val="hybridMultilevel"/>
    <w:tmpl w:val="F462E39E"/>
    <w:lvl w:ilvl="0" w:tplc="CDEC8C52">
      <w:start w:val="1"/>
      <w:numFmt w:val="upp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345D2C">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95A8C5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526A0A">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5068C0">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624728">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A03FBA">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F47E1E">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C680A4">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768086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8F"/>
    <w:rsid w:val="00164C8F"/>
    <w:rsid w:val="0016622D"/>
    <w:rsid w:val="0031410A"/>
    <w:rsid w:val="00341DBC"/>
    <w:rsid w:val="003C1277"/>
    <w:rsid w:val="00497926"/>
    <w:rsid w:val="004F0B30"/>
    <w:rsid w:val="00587E8A"/>
    <w:rsid w:val="005D1F2B"/>
    <w:rsid w:val="005F1A97"/>
    <w:rsid w:val="006C6C1E"/>
    <w:rsid w:val="006D3825"/>
    <w:rsid w:val="00752638"/>
    <w:rsid w:val="00793098"/>
    <w:rsid w:val="0083151C"/>
    <w:rsid w:val="00852004"/>
    <w:rsid w:val="008B08BA"/>
    <w:rsid w:val="00932EEC"/>
    <w:rsid w:val="00AE3C6C"/>
    <w:rsid w:val="00C429E0"/>
    <w:rsid w:val="00C52C38"/>
    <w:rsid w:val="00C70FF5"/>
    <w:rsid w:val="00DB25DC"/>
    <w:rsid w:val="00DB61CD"/>
    <w:rsid w:val="00E164BD"/>
    <w:rsid w:val="00E51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D83D"/>
  <w15:docId w15:val="{001E34A5-59CF-4E89-BE43-B941240D3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24" w:right="5"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qFormat/>
    <w:pPr>
      <w:keepNext/>
      <w:keepLines/>
      <w:spacing w:after="0"/>
      <w:ind w:left="24" w:hanging="10"/>
      <w:outlineLvl w:val="0"/>
    </w:pPr>
    <w:rPr>
      <w:rFonts w:ascii="Times New Roman" w:eastAsia="Times New Roman" w:hAnsi="Times New Roman" w:cs="Times New Roman"/>
      <w:b/>
      <w:color w:val="000000"/>
      <w:sz w:val="28"/>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u w:val="single" w:color="000000"/>
    </w:rPr>
  </w:style>
  <w:style w:type="paragraph" w:styleId="Footer">
    <w:name w:val="footer"/>
    <w:basedOn w:val="Normal"/>
    <w:link w:val="FooterChar"/>
    <w:uiPriority w:val="99"/>
    <w:unhideWhenUsed/>
    <w:rsid w:val="00932E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EEC"/>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C12F5-8149-4A92-AE40-17C4F93D6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3f6d80-b32b-4225-9fa8-d2a9096fb9d8"/>
    <ds:schemaRef ds:uri="b7db04fa-0a16-4728-af6f-a731b02a9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C9409-A562-448C-A232-17ED3D148DB0}">
  <ds:schemaRefs>
    <ds:schemaRef ds:uri="http://schemas.microsoft.com/sharepoint/v3/contenttype/forms"/>
  </ds:schemaRefs>
</ds:datastoreItem>
</file>

<file path=customXml/itemProps3.xml><?xml version="1.0" encoding="utf-8"?>
<ds:datastoreItem xmlns:ds="http://schemas.openxmlformats.org/officeDocument/2006/customXml" ds:itemID="{8D06D92F-83F0-44AD-8904-3FA04409FE3F}">
  <ds:schemaRefs>
    <ds:schemaRef ds:uri="http://schemas.microsoft.com/office/2006/metadata/properties"/>
    <ds:schemaRef ds:uri="http://schemas.microsoft.com/office/infopath/2007/PartnerControls"/>
    <ds:schemaRef ds:uri="f83f6d80-b32b-4225-9fa8-d2a9096fb9d8"/>
  </ds:schemaRefs>
</ds:datastoreItem>
</file>

<file path=customXml/itemProps4.xml><?xml version="1.0" encoding="utf-8"?>
<ds:datastoreItem xmlns:ds="http://schemas.openxmlformats.org/officeDocument/2006/customXml" ds:itemID="{5F01725F-0A3C-4188-8E39-CC9EA0646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1806</Words>
  <Characters>10295</Characters>
  <Application>Microsoft Office Word</Application>
  <DocSecurity>0</DocSecurity>
  <Lines>85</Lines>
  <Paragraphs>24</Paragraphs>
  <ScaleCrop>false</ScaleCrop>
  <Company/>
  <LinksUpToDate>false</LinksUpToDate>
  <CharactersWithSpaces>12077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Budgetary Planning</dc:title>
  <dc:subject/>
  <dc:creator>Chris Wood</dc:creator>
  <cp:keywords/>
  <cp:lastModifiedBy>Plunkett, Derenda L</cp:lastModifiedBy>
  <cp:revision>10</cp:revision>
  <cp:lastPrinted>2024-02-19T16:35:00Z</cp:lastPrinted>
  <dcterms:created xsi:type="dcterms:W3CDTF">2024-02-08T20:53:00Z</dcterms:created>
  <dcterms:modified xsi:type="dcterms:W3CDTF">2024-02-19T16:38:00Z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ac3a1a-de19-428b-b395-6d250d7743fb_Enabled">
    <vt:lpwstr>true</vt:lpwstr>
  </property>
  <property fmtid="{D5CDD505-2E9C-101B-9397-08002B2CF9AE}" pid="3" name="MSIP_Label_e3ac3a1a-de19-428b-b395-6d250d7743fb_SetDate">
    <vt:lpwstr>2024-01-22T21:29:57Z</vt:lpwstr>
  </property>
  <property fmtid="{D5CDD505-2E9C-101B-9397-08002B2CF9AE}" pid="4" name="MSIP_Label_e3ac3a1a-de19-428b-b395-6d250d7743fb_Method">
    <vt:lpwstr>Standard</vt:lpwstr>
  </property>
  <property fmtid="{D5CDD505-2E9C-101B-9397-08002B2CF9AE}" pid="5" name="MSIP_Label_e3ac3a1a-de19-428b-b395-6d250d7743fb_Name">
    <vt:lpwstr>Internal Use Only</vt:lpwstr>
  </property>
  <property fmtid="{D5CDD505-2E9C-101B-9397-08002B2CF9AE}" pid="6" name="MSIP_Label_e3ac3a1a-de19-428b-b395-6d250d7743fb_SiteId">
    <vt:lpwstr>88cc5fd7-fd78-44b6-ad75-b6915088974f</vt:lpwstr>
  </property>
  <property fmtid="{D5CDD505-2E9C-101B-9397-08002B2CF9AE}" pid="7" name="MSIP_Label_e3ac3a1a-de19-428b-b395-6d250d7743fb_ActionId">
    <vt:lpwstr>c73eef46-2329-4418-be46-ee30ffb369bb</vt:lpwstr>
  </property>
  <property fmtid="{D5CDD505-2E9C-101B-9397-08002B2CF9AE}" pid="8" name="MSIP_Label_e3ac3a1a-de19-428b-b395-6d250d7743fb_ContentBits">
    <vt:lpwstr>0</vt:lpwstr>
  </property>
  <property fmtid="{D5CDD505-2E9C-101B-9397-08002B2CF9AE}" pid="9" name="ContentTypeId">
    <vt:lpwstr>0x010100F7A0A3677438D24B928C2D9AE45F51FC</vt:lpwstr>
  </property>
  <property fmtid="{D5CDD505-2E9C-101B-9397-08002B2CF9AE}" pid="10" name="MediaServiceImageTags">
    <vt:lpwstr/>
  </property>
</Properties>
</file>